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59"/>
        <w:gridCol w:w="1984"/>
        <w:gridCol w:w="6521"/>
        <w:gridCol w:w="4111"/>
        <w:gridCol w:w="1076"/>
        <w:gridCol w:w="31"/>
      </w:tblGrid>
      <w:tr w:rsidR="00A06425" w:rsidRPr="004B4123" w14:paraId="5CA981BB" w14:textId="77777777" w:rsidTr="006C2226">
        <w:tc>
          <w:tcPr>
            <w:tcW w:w="15844" w:type="dxa"/>
            <w:gridSpan w:val="7"/>
            <w:shd w:val="clear" w:color="auto" w:fill="auto"/>
            <w:vAlign w:val="center"/>
          </w:tcPr>
          <w:p w14:paraId="577FCB5D" w14:textId="624383BF" w:rsidR="006C6369" w:rsidRPr="0077406D" w:rsidRDefault="00A06425" w:rsidP="00F4195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9520C3" w:rsidRP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projekt </w:t>
            </w:r>
            <w:r w:rsidR="00F41958" w:rsidRPr="00F4195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ustawy o zmianie ustawy o systemach homologacji pojazdów oraz ich wyposażenia oraz niektórych innych ustaw (UC95)</w:t>
            </w:r>
            <w:r w:rsidR="00F4195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76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6D48AF9F" w14:textId="77777777" w:rsidR="00846E5F" w:rsidRDefault="00846E5F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 ustawy,</w:t>
            </w:r>
          </w:p>
          <w:p w14:paraId="0518BC31" w14:textId="3769B4C5" w:rsidR="009357E2" w:rsidRPr="0077406D" w:rsidRDefault="007D55F3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78F93427" w14:textId="47F073EE" w:rsidR="00151F59" w:rsidRPr="00151F59" w:rsidRDefault="00151F59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 xml:space="preserve">Projekt ustawy rodzi skutki finansowe dla TDT (państwowa osoba prawna)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 xml:space="preserve"> postaci zwiększenia jego wydatków o ok. 988,23 mln zł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 xml:space="preserve">w okresie 11 lat (od 49,70 mln zł w 2027 r. do 103,87 mln zł w 2037 r.), m.in. w związku z utworzeniem 116 etatów urzędniczych, przy czym byłyby to skutki przechodzące również na kolejne lata. Należy więc przypomnieć, że państwowe osoby prawne są objęte zakresem stabilizującej reguły wydatkowej (SRW), a ich wydatki podlegają limitowi wyznaczanemu zgodnie z art. 112aa ustawy o finansach publicznych i zapisanemu w art. 1 ust. 4 ustawy budżetowej. </w:t>
            </w:r>
          </w:p>
          <w:p w14:paraId="7CFD1CDE" w14:textId="77777777" w:rsidR="00151F59" w:rsidRDefault="00151F59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281EF" w14:textId="075AAB12" w:rsidR="00151F59" w:rsidRDefault="00151F59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>Przestrzeń na zwiększenie wydatków podmiotów objętych SRW w roku 2026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 xml:space="preserve">i w latach kolejnych jest mocno ograniczona. </w:t>
            </w:r>
            <w:r w:rsidR="00B51FCD">
              <w:rPr>
                <w:rFonts w:asciiTheme="minorHAnsi" w:hAnsiTheme="minorHAnsi" w:cstheme="minorHAnsi"/>
                <w:sz w:val="22"/>
                <w:szCs w:val="22"/>
              </w:rPr>
              <w:t xml:space="preserve">Jednocześnie </w:t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>Polska pozostaje objęta procedurą nadmiernego deficytu na podstawie decyzji Rady Unii Europejskiej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>nr 2024/2133, co nakłada na Polskę obowiązek prowadzenia konsekwentnych działań konsolidacyjnych oraz stopniowej redukcji deficytu w kolejnych latach, zgodnie z założeniami Średniookresowego planu budżetowo-strukturalnego na lata 2025-2028.</w:t>
            </w:r>
          </w:p>
          <w:p w14:paraId="5B82D9E4" w14:textId="77777777" w:rsidR="00151F59" w:rsidRPr="00151F59" w:rsidRDefault="00151F59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94E9D0" w14:textId="6E51E83C" w:rsidR="00151F59" w:rsidRPr="00151F59" w:rsidRDefault="00151F59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 xml:space="preserve">Zatem ewentualna zgoda na wnioskowany wzrost wydatków jest możliwa wyłącznie pod warunkiem znalezienia oszczędności </w:t>
            </w:r>
            <w:r w:rsidR="00BE16F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>w częściach budżetowych i jednostkach objętych SRW zarządzanych przez Ministra Infrastruktury, w celu zrównoważenia wzrostu tych wydatków. Biorąc pod uwagę, że projektowane zmiany wywołują coroczne i długoterminowe skutki, ww. oszczędności również powinny mieć taki charakter.</w:t>
            </w:r>
          </w:p>
          <w:p w14:paraId="50514BF7" w14:textId="77777777" w:rsidR="00151F59" w:rsidRDefault="00151F59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DAA096" w14:textId="615FD767" w:rsidR="00151F59" w:rsidRDefault="00151F59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>Konieczne jest więc finansowanie zwiększonych wydatków w ramach planu finansowego jednostki, tj. np. z oszczędności, bez konieczności zwiększania łącznych wydatków.</w:t>
            </w:r>
          </w:p>
          <w:p w14:paraId="34D7836E" w14:textId="4AD9D3D9" w:rsidR="003C046D" w:rsidRDefault="003C046D" w:rsidP="00151F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861FE" w14:textId="53CECB70" w:rsidR="009357E2" w:rsidRPr="007167B1" w:rsidRDefault="003C046D" w:rsidP="00BE16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C046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szczególności, ze względu na brak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dostępnej przestrzeni finansowej na rok 2027 - poziom wydatków w 2027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 xml:space="preserve">r. nie może być wyższy niż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w roku 2026. Założenie, iż wydatki jednostek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sektora finansów publicznych ujęte w planach finansowych na 2027 rok 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 xml:space="preserve">mogą przekraczać poziomu wydatków z planu na rok 2026, zostało przyjęte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w trakcie bieżących prac nad projektem ustawy budżetowej na rok 2027.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 xml:space="preserve">Podtrzymujemy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również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stanowisko co do potrzeby prowadzenia kolejnych analiz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zakresie zasadności wzrostu wydatków TDT, wykazanego w pkt 6. OSR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także w kolejnych latach wykonywania ustawy i odpowiedniego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046D">
              <w:rPr>
                <w:rFonts w:asciiTheme="minorHAnsi" w:hAnsiTheme="minorHAnsi" w:cstheme="minorHAnsi"/>
                <w:sz w:val="22"/>
                <w:szCs w:val="22"/>
              </w:rPr>
              <w:t>zweryfikowania tych kwot.</w:t>
            </w:r>
          </w:p>
        </w:tc>
        <w:tc>
          <w:tcPr>
            <w:tcW w:w="4111" w:type="dxa"/>
            <w:shd w:val="clear" w:color="auto" w:fill="auto"/>
          </w:tcPr>
          <w:p w14:paraId="73D41DF8" w14:textId="551EC5FE" w:rsidR="009357E2" w:rsidRPr="007167B1" w:rsidRDefault="00B51FCD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Do uwzględnienia przez </w:t>
            </w:r>
            <w:r w:rsidR="00846E5F">
              <w:rPr>
                <w:rFonts w:ascii="Calibri" w:hAnsi="Calibri" w:cs="Calibri"/>
                <w:sz w:val="22"/>
                <w:szCs w:val="22"/>
              </w:rPr>
              <w:t>projektodawcę</w:t>
            </w:r>
            <w:r w:rsidR="00BE16F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076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3974E374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2C28A765" w14:textId="713B049A" w:rsidR="003C046D" w:rsidRPr="007740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EAA8643" w14:textId="69EA4FE9" w:rsidR="003C046D" w:rsidRPr="0077406D" w:rsidRDefault="00714AC7" w:rsidP="003C046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5EED977F" w14:textId="6EAA02A2" w:rsidR="003C04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0ECF4D87" w14:textId="2EB71103" w:rsidR="00714AC7" w:rsidRDefault="003C046D" w:rsidP="00714A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 xml:space="preserve"> OSR w pkt 6 tabela pod rubryką „Wydatki ogółem” dwa razy wypełniono rubrykę budżet państwa (ze znakiem dodatnim, a potem ze znakiem ujemnym). </w:t>
            </w:r>
            <w:r w:rsidR="00714AC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714AC7" w:rsidRPr="00714AC7">
              <w:rPr>
                <w:rFonts w:asciiTheme="minorHAnsi" w:hAnsiTheme="minorHAnsi" w:cstheme="minorHAnsi"/>
                <w:sz w:val="22"/>
                <w:szCs w:val="22"/>
              </w:rPr>
              <w:t xml:space="preserve"> załącznika nr 6 do OSR nie wynika, aby projekt niósł ze sobą</w:t>
            </w:r>
            <w:r w:rsidR="00714AC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4AC7" w:rsidRPr="00714AC7">
              <w:rPr>
                <w:rFonts w:asciiTheme="minorHAnsi" w:hAnsiTheme="minorHAnsi" w:cstheme="minorHAnsi"/>
                <w:sz w:val="22"/>
                <w:szCs w:val="22"/>
              </w:rPr>
              <w:t>zwiększenie wydatków dla budżetu państwa. Wielkości pokazane w tabeli</w:t>
            </w:r>
            <w:r w:rsidR="00714AC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4AC7" w:rsidRPr="00714AC7">
              <w:rPr>
                <w:rFonts w:asciiTheme="minorHAnsi" w:hAnsiTheme="minorHAnsi" w:cstheme="minorHAnsi"/>
                <w:sz w:val="22"/>
                <w:szCs w:val="22"/>
              </w:rPr>
              <w:t>w pkt 6 OSR znoszą się co prawda, jednak taka prezentacja nie odpowiada</w:t>
            </w:r>
            <w:r w:rsidR="00714AC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4AC7" w:rsidRPr="00714AC7">
              <w:rPr>
                <w:rFonts w:asciiTheme="minorHAnsi" w:hAnsiTheme="minorHAnsi" w:cstheme="minorHAnsi"/>
                <w:sz w:val="22"/>
                <w:szCs w:val="22"/>
              </w:rPr>
              <w:t>metodologii sporządzania OSR – należy usunąć jeden z wierszy, a w</w:t>
            </w:r>
            <w:r w:rsidR="00714AC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4AC7" w:rsidRPr="00714AC7">
              <w:rPr>
                <w:rFonts w:asciiTheme="minorHAnsi" w:hAnsiTheme="minorHAnsi" w:cstheme="minorHAnsi"/>
                <w:sz w:val="22"/>
                <w:szCs w:val="22"/>
              </w:rPr>
              <w:t xml:space="preserve">pozostałym wpisać „0” w każdym </w:t>
            </w:r>
            <w:r w:rsidR="00714AC7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714AC7" w:rsidRPr="00714AC7">
              <w:rPr>
                <w:rFonts w:asciiTheme="minorHAnsi" w:hAnsiTheme="minorHAnsi" w:cstheme="minorHAnsi"/>
                <w:sz w:val="22"/>
                <w:szCs w:val="22"/>
              </w:rPr>
              <w:t>z kolejnych lat wykonywania ustawy.</w:t>
            </w:r>
          </w:p>
          <w:p w14:paraId="20834BAD" w14:textId="77777777" w:rsidR="00714AC7" w:rsidRDefault="00714AC7" w:rsidP="00714A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D9D733" w14:textId="4BE44246" w:rsidR="003C046D" w:rsidRPr="00151F59" w:rsidRDefault="003C046D" w:rsidP="003C04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>Także rubryka „Saldo ogółem” odnosząca się do budżetu państwa wymaga skorygowania (saldo ogółem powinno przedstawiać różnicę między dochodami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1F59">
              <w:rPr>
                <w:rFonts w:asciiTheme="minorHAnsi" w:hAnsiTheme="minorHAnsi" w:cstheme="minorHAnsi"/>
                <w:sz w:val="22"/>
                <w:szCs w:val="22"/>
              </w:rPr>
              <w:t>a wydatkami), obecnie wykazane są tam wartości stanowiące jedynie dochody.</w:t>
            </w:r>
          </w:p>
        </w:tc>
        <w:tc>
          <w:tcPr>
            <w:tcW w:w="4111" w:type="dxa"/>
            <w:shd w:val="clear" w:color="auto" w:fill="auto"/>
          </w:tcPr>
          <w:p w14:paraId="4F21A73A" w14:textId="5EC7659E" w:rsidR="003C046D" w:rsidRDefault="003C046D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OSR we wskazanym zakresie. </w:t>
            </w:r>
          </w:p>
        </w:tc>
        <w:tc>
          <w:tcPr>
            <w:tcW w:w="1076" w:type="dxa"/>
          </w:tcPr>
          <w:p w14:paraId="591944E5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48F7" w:rsidRPr="004B4123" w14:paraId="503CEFCA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51EC50FB" w14:textId="002C733F" w:rsidR="005A48F7" w:rsidRPr="007740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71EB91F6" w14:textId="08903A29" w:rsidR="005A48F7" w:rsidRPr="0077406D" w:rsidRDefault="00691D83" w:rsidP="003C046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754B6FF8" w14:textId="594D56D7" w:rsidR="005A48F7" w:rsidRDefault="00846E5F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6A13629F" w14:textId="4254DD5F" w:rsidR="005A48F7" w:rsidRDefault="005A48F7" w:rsidP="005A4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A48F7">
              <w:rPr>
                <w:rFonts w:asciiTheme="minorHAnsi" w:hAnsiTheme="minorHAnsi" w:cstheme="minorHAnsi"/>
                <w:sz w:val="22"/>
                <w:szCs w:val="22"/>
              </w:rPr>
              <w:t>Zgodnie z informacją zawartą w pkt 6. OSR, w wierszu „Źródła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48F7">
              <w:rPr>
                <w:rFonts w:asciiTheme="minorHAnsi" w:hAnsiTheme="minorHAnsi" w:cstheme="minorHAnsi"/>
                <w:sz w:val="22"/>
                <w:szCs w:val="22"/>
              </w:rPr>
              <w:t xml:space="preserve">finansowania”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846E5F">
              <w:rPr>
                <w:rFonts w:asciiTheme="minorHAnsi" w:hAnsiTheme="minorHAnsi" w:cstheme="minorHAnsi"/>
                <w:sz w:val="22"/>
                <w:szCs w:val="22"/>
              </w:rPr>
              <w:t xml:space="preserve">inisterstwo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="00846E5F">
              <w:rPr>
                <w:rFonts w:asciiTheme="minorHAnsi" w:hAnsiTheme="minorHAnsi" w:cstheme="minorHAnsi"/>
                <w:sz w:val="22"/>
                <w:szCs w:val="22"/>
              </w:rPr>
              <w:t xml:space="preserve">inansów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przyjmuje</w:t>
            </w:r>
            <w:r w:rsidRPr="005A48F7">
              <w:rPr>
                <w:rFonts w:asciiTheme="minorHAnsi" w:hAnsiTheme="minorHAnsi" w:cstheme="minorHAnsi"/>
                <w:sz w:val="22"/>
                <w:szCs w:val="22"/>
              </w:rPr>
              <w:t>, że zwiększenie zatrudnienia w Ministerstwie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48F7">
              <w:rPr>
                <w:rFonts w:asciiTheme="minorHAnsi" w:hAnsiTheme="minorHAnsi" w:cstheme="minorHAnsi"/>
                <w:sz w:val="22"/>
                <w:szCs w:val="22"/>
              </w:rPr>
              <w:t>Infrastruktury o 3 nowe etaty (w roku 2027 dwa etaty, a w roku 2028 jeden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48F7">
              <w:rPr>
                <w:rFonts w:asciiTheme="minorHAnsi" w:hAnsiTheme="minorHAnsi" w:cstheme="minorHAnsi"/>
                <w:sz w:val="22"/>
                <w:szCs w:val="22"/>
              </w:rPr>
              <w:t>etat) nie spowoduje dodatkowych skutków finansowych dla budżetu państwa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48F7">
              <w:rPr>
                <w:rFonts w:asciiTheme="minorHAnsi" w:hAnsiTheme="minorHAnsi" w:cstheme="minorHAnsi"/>
                <w:sz w:val="22"/>
                <w:szCs w:val="22"/>
              </w:rPr>
              <w:t xml:space="preserve">zostanie sfinansowane </w:t>
            </w:r>
            <w:r w:rsidR="00846E5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5A48F7">
              <w:rPr>
                <w:rFonts w:asciiTheme="minorHAnsi" w:hAnsiTheme="minorHAnsi" w:cstheme="minorHAnsi"/>
                <w:sz w:val="22"/>
                <w:szCs w:val="22"/>
              </w:rPr>
              <w:t>w ramach limitu wynagrodzeń Ministra Infrastruktury</w:t>
            </w:r>
            <w:r w:rsidR="00846E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04BB4C66" w14:textId="477A3501" w:rsidR="005A48F7" w:rsidRDefault="00846E5F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uwzględnienia przez projektodawcę.</w:t>
            </w:r>
          </w:p>
        </w:tc>
        <w:tc>
          <w:tcPr>
            <w:tcW w:w="1076" w:type="dxa"/>
          </w:tcPr>
          <w:p w14:paraId="206EA858" w14:textId="77777777" w:rsidR="005A48F7" w:rsidRPr="0077406D" w:rsidRDefault="005A48F7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7639D9E3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2CB571F5" w14:textId="23780353" w:rsidR="003C046D" w:rsidRPr="007740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7E17C20" w14:textId="02CF399E" w:rsidR="003C046D" w:rsidRPr="0077406D" w:rsidRDefault="003C046D" w:rsidP="003C046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3063B357" w14:textId="10D05F46" w:rsidR="003C046D" w:rsidRPr="0077406D" w:rsidRDefault="00B77C77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 ustawy,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3C046D"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58EC6041" w14:textId="24E3BC73" w:rsidR="003C046D" w:rsidRPr="00EC201B" w:rsidRDefault="003C046D" w:rsidP="003C04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skazujemy na rozbieżności pomiędzy art. 17 ust.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 xml:space="preserve">projektu ustawy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a OSR: w przepisach określa się limity wydatków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poczynając od 2026 r</w:t>
            </w:r>
            <w:r w:rsidR="00B77C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, natomiast zgodnie z OSR rokiem wejścia w życie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przepisów ustawy (rok „0”) jest rok 2027. Kwoty wydatków TDT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poszczególnych latach wykonywania ustawy wskazane w OSR różnią się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także z maksymalnymi limitami wydatków na poszczególne lata.</w:t>
            </w:r>
          </w:p>
          <w:p w14:paraId="7F3595CB" w14:textId="77777777" w:rsidR="003C046D" w:rsidRPr="00EC201B" w:rsidRDefault="003C046D" w:rsidP="003C04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E3D0AA" w14:textId="45E23D91" w:rsidR="003C046D" w:rsidRPr="007167B1" w:rsidRDefault="003C046D" w:rsidP="00B77C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 xml:space="preserve">Zgodnie z art. 50 ust. 1a ustawy o finansach publicznych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w przyjmowanych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 xml:space="preserve">przez Radę Ministrów projektach ustaw, których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skutkiem finansowym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może być zmiana poziomu wydatków jednostek sektora finansów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 xml:space="preserve">publicznych w stosunku do wielkości wynikających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z obowiązujących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przepisów, określa się w treści projektu maksymalny limit tych wydatków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wyrażony kwotowo, na okres 10 lat budżetowych wykonywania ustawy,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 xml:space="preserve">oddzielnie dla każdego roku, poczynając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od pierwszego roku planowanego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wejścia w życie ustawy.</w:t>
            </w:r>
            <w:r w:rsidR="00B77C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Przepis zawierający maksymalne limity wydatków (art. 17 ust. 1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ustawy) obejmuje 11 lat, co nie jest zatem zgodne z wyżej przywołanym art.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1B">
              <w:rPr>
                <w:rFonts w:asciiTheme="minorHAnsi" w:hAnsiTheme="minorHAnsi" w:cstheme="minorHAnsi"/>
                <w:sz w:val="22"/>
                <w:szCs w:val="22"/>
              </w:rPr>
              <w:t>50 ust. 1a.</w:t>
            </w:r>
          </w:p>
        </w:tc>
        <w:tc>
          <w:tcPr>
            <w:tcW w:w="4111" w:type="dxa"/>
            <w:shd w:val="clear" w:color="auto" w:fill="auto"/>
          </w:tcPr>
          <w:p w14:paraId="6DC91592" w14:textId="5ADC6EC1" w:rsidR="003C046D" w:rsidRPr="007167B1" w:rsidRDefault="003C046D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Korekta </w:t>
            </w:r>
            <w:r w:rsidR="00B77C77">
              <w:rPr>
                <w:rFonts w:ascii="Calibri" w:hAnsi="Calibri" w:cs="Calibri"/>
                <w:sz w:val="22"/>
                <w:szCs w:val="22"/>
              </w:rPr>
              <w:t xml:space="preserve">projektu ustawy i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OSR we wskazanym zakresie. </w:t>
            </w:r>
          </w:p>
        </w:tc>
        <w:tc>
          <w:tcPr>
            <w:tcW w:w="1076" w:type="dxa"/>
          </w:tcPr>
          <w:p w14:paraId="564D8024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7E393B58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15EF0DE4" w14:textId="26E6C1E8" w:rsidR="003C046D" w:rsidRPr="007740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EF4A59E" w14:textId="62E21A4B" w:rsidR="003C046D" w:rsidRPr="0077406D" w:rsidRDefault="003C046D" w:rsidP="003C046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5A82644E" w14:textId="6B27F652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574EF03B" w14:textId="4944C1A2" w:rsidR="003C046D" w:rsidRPr="007167B1" w:rsidRDefault="003C046D" w:rsidP="003C04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5B1B">
              <w:rPr>
                <w:rFonts w:asciiTheme="minorHAnsi" w:hAnsiTheme="minorHAnsi" w:cstheme="minorHAnsi"/>
                <w:sz w:val="22"/>
                <w:szCs w:val="22"/>
              </w:rPr>
              <w:t xml:space="preserve">W pkt 4 OSR Krajowa Administracja Skarbowa została wymieniona jako podmiot, na który oddziałuje projekt w ramach współpracy Dyrektora Transportowego Dozoru Technicznego z KAS, natomiast w pkt 6 OSR nie określono, czy zadania wymienione w pkt 4 OSR będą wymagały zaangażowania dodatkowych środków finansowych po stronie KAS.  </w:t>
            </w:r>
          </w:p>
        </w:tc>
        <w:tc>
          <w:tcPr>
            <w:tcW w:w="4111" w:type="dxa"/>
            <w:shd w:val="clear" w:color="auto" w:fill="auto"/>
          </w:tcPr>
          <w:p w14:paraId="0A62F6DB" w14:textId="6EE2F5ED" w:rsidR="003C046D" w:rsidRPr="007167B1" w:rsidRDefault="003C046D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wyjaśnienia przez projektodawcę.</w:t>
            </w:r>
          </w:p>
        </w:tc>
        <w:tc>
          <w:tcPr>
            <w:tcW w:w="1076" w:type="dxa"/>
          </w:tcPr>
          <w:p w14:paraId="11A4E6DC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7429208D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5F5C4CCB" w14:textId="7DA9BB0B" w:rsidR="003C04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6F52A85" w14:textId="77777777" w:rsidR="00691D83" w:rsidRPr="00A466DC" w:rsidRDefault="00691D83" w:rsidP="00691D8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</w:p>
          <w:p w14:paraId="72FAEBC6" w14:textId="166D2642" w:rsidR="003C046D" w:rsidRPr="0077406D" w:rsidRDefault="00691D83" w:rsidP="00691D8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1F33F794" w14:textId="07E6FB57" w:rsidR="003C04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27ADAAEE" w14:textId="081247A8" w:rsidR="003C046D" w:rsidRPr="00235B1B" w:rsidRDefault="003C046D" w:rsidP="00790B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92F18">
              <w:rPr>
                <w:rFonts w:asciiTheme="minorHAnsi" w:hAnsiTheme="minorHAnsi" w:cstheme="minorHAnsi"/>
                <w:sz w:val="22"/>
                <w:szCs w:val="22"/>
              </w:rPr>
              <w:t>dnosząc się do zapisów zawartych w załączonej Ocenie S</w:t>
            </w:r>
            <w:r w:rsidR="00985691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192F18">
              <w:rPr>
                <w:rFonts w:asciiTheme="minorHAnsi" w:hAnsiTheme="minorHAnsi" w:cstheme="minorHAnsi"/>
                <w:sz w:val="22"/>
                <w:szCs w:val="22"/>
              </w:rPr>
              <w:t>utków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2F18">
              <w:rPr>
                <w:rFonts w:asciiTheme="minorHAnsi" w:hAnsiTheme="minorHAnsi" w:cstheme="minorHAnsi"/>
                <w:sz w:val="22"/>
                <w:szCs w:val="22"/>
              </w:rPr>
              <w:t xml:space="preserve">Regulacji,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MF</w:t>
            </w:r>
            <w:r w:rsidRPr="00192F18">
              <w:rPr>
                <w:rFonts w:asciiTheme="minorHAnsi" w:hAnsiTheme="minorHAnsi" w:cstheme="minorHAnsi"/>
                <w:sz w:val="22"/>
                <w:szCs w:val="22"/>
              </w:rPr>
              <w:t xml:space="preserve"> proponuje uzupełnienie brzmienia pkt 6 OSR pn. Wpływ</w:t>
            </w:r>
            <w:r w:rsidR="00790B3B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92F18">
              <w:rPr>
                <w:rFonts w:asciiTheme="minorHAnsi" w:hAnsiTheme="minorHAnsi" w:cstheme="minorHAnsi"/>
                <w:sz w:val="22"/>
                <w:szCs w:val="22"/>
              </w:rPr>
              <w:t>na sektor finansów publicznych o informacje przedstawiające sposób kalkulacji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2F18">
              <w:rPr>
                <w:rFonts w:asciiTheme="minorHAnsi" w:hAnsiTheme="minorHAnsi" w:cstheme="minorHAnsi"/>
                <w:sz w:val="22"/>
                <w:szCs w:val="22"/>
              </w:rPr>
              <w:t>wykazanych kwot dochodów jednostek samorządu terytorialnego.</w:t>
            </w:r>
          </w:p>
        </w:tc>
        <w:tc>
          <w:tcPr>
            <w:tcW w:w="4111" w:type="dxa"/>
            <w:shd w:val="clear" w:color="auto" w:fill="auto"/>
          </w:tcPr>
          <w:p w14:paraId="4C832ED9" w14:textId="601CEEEF" w:rsidR="003C046D" w:rsidRDefault="003C046D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OSR we wskazanym zakresie.</w:t>
            </w:r>
          </w:p>
        </w:tc>
        <w:tc>
          <w:tcPr>
            <w:tcW w:w="1076" w:type="dxa"/>
          </w:tcPr>
          <w:p w14:paraId="5FA9121F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6FB932CB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7AA554E2" w14:textId="7379860F" w:rsidR="003C04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5D9B7DC6" w14:textId="77777777" w:rsidR="00691D83" w:rsidRPr="00A466DC" w:rsidRDefault="00691D83" w:rsidP="00691D8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</w:p>
          <w:p w14:paraId="33B66813" w14:textId="3134F058" w:rsidR="003C046D" w:rsidRPr="0077406D" w:rsidRDefault="00691D83" w:rsidP="00691D8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77C3720C" w14:textId="08BC634D" w:rsidR="003C04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1FFB2BB3" w14:textId="4053A6C9" w:rsidR="003C046D" w:rsidRDefault="003C046D" w:rsidP="003C04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</w:t>
            </w:r>
            <w:r w:rsidRPr="009E6B40">
              <w:rPr>
                <w:rFonts w:asciiTheme="minorHAnsi" w:hAnsiTheme="minorHAnsi" w:cstheme="minorHAnsi"/>
                <w:sz w:val="22"/>
                <w:szCs w:val="22"/>
              </w:rPr>
              <w:t>uzupełni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Pr="009E6B40">
              <w:rPr>
                <w:rFonts w:asciiTheme="minorHAnsi" w:hAnsiTheme="minorHAnsi" w:cstheme="minorHAnsi"/>
                <w:sz w:val="22"/>
                <w:szCs w:val="22"/>
              </w:rPr>
              <w:t xml:space="preserve"> pkt 6 OSR w cz. „Dodatkowe informacje”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E6B40">
              <w:rPr>
                <w:rFonts w:asciiTheme="minorHAnsi" w:hAnsiTheme="minorHAnsi" w:cstheme="minorHAnsi"/>
                <w:sz w:val="22"/>
                <w:szCs w:val="22"/>
              </w:rPr>
              <w:t xml:space="preserve">o wyszczególnienie wydatków związanych z ubezpieczeniem zdrowotnym (analogicznie jak ma to np. miejsce w przypadku odpisu </w:t>
            </w:r>
            <w:r w:rsidR="00790B3B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E6B40">
              <w:rPr>
                <w:rFonts w:asciiTheme="minorHAnsi" w:hAnsiTheme="minorHAnsi" w:cstheme="minorHAnsi"/>
                <w:sz w:val="22"/>
                <w:szCs w:val="22"/>
              </w:rPr>
              <w:t>na ZFŚS).</w:t>
            </w:r>
          </w:p>
        </w:tc>
        <w:tc>
          <w:tcPr>
            <w:tcW w:w="4111" w:type="dxa"/>
            <w:shd w:val="clear" w:color="auto" w:fill="auto"/>
          </w:tcPr>
          <w:p w14:paraId="01C836E4" w14:textId="58690FFA" w:rsidR="003C046D" w:rsidRDefault="003C046D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OSR we wskazanym zakresie.</w:t>
            </w:r>
          </w:p>
        </w:tc>
        <w:tc>
          <w:tcPr>
            <w:tcW w:w="1076" w:type="dxa"/>
          </w:tcPr>
          <w:p w14:paraId="78EE7987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3AB60C1D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691D9812" w14:textId="0FF1AAF4" w:rsidR="003C046D" w:rsidRPr="007740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F5FE75F" w14:textId="17179C6C" w:rsidR="003C046D" w:rsidRPr="0077406D" w:rsidRDefault="003C046D" w:rsidP="003C046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34AD52E0" w14:textId="77777777" w:rsidR="003C046D" w:rsidRDefault="006C2226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 ustawy,</w:t>
            </w:r>
          </w:p>
          <w:p w14:paraId="0D3BF285" w14:textId="4E1B1192" w:rsidR="006C2226" w:rsidRPr="0077406D" w:rsidRDefault="006C2226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uzasadnienie,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OSR</w:t>
            </w:r>
          </w:p>
        </w:tc>
        <w:tc>
          <w:tcPr>
            <w:tcW w:w="6521" w:type="dxa"/>
            <w:shd w:val="clear" w:color="auto" w:fill="auto"/>
          </w:tcPr>
          <w:p w14:paraId="4FD384F9" w14:textId="42827057" w:rsidR="003C046D" w:rsidRPr="007167B1" w:rsidRDefault="003C046D" w:rsidP="003C04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7BC8">
              <w:rPr>
                <w:rFonts w:asciiTheme="minorHAnsi" w:hAnsiTheme="minorHAnsi" w:cstheme="minorHAnsi"/>
                <w:sz w:val="22"/>
                <w:szCs w:val="22"/>
              </w:rPr>
              <w:t>25 czerwca br. została ogłoszona ustawa z dnia 29 maja 2026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7BC8">
              <w:rPr>
                <w:rFonts w:asciiTheme="minorHAnsi" w:hAnsiTheme="minorHAnsi" w:cstheme="minorHAnsi"/>
                <w:sz w:val="22"/>
                <w:szCs w:val="22"/>
              </w:rPr>
              <w:t xml:space="preserve">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A7BC8">
              <w:rPr>
                <w:rFonts w:asciiTheme="minorHAnsi" w:hAnsiTheme="minorHAnsi" w:cstheme="minorHAnsi"/>
                <w:sz w:val="22"/>
                <w:szCs w:val="22"/>
              </w:rPr>
              <w:t>o zmianie ustawy – Ordynacja podatkowa oraz niektórych innych ustaw, która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7BC8">
              <w:rPr>
                <w:rFonts w:asciiTheme="minorHAnsi" w:hAnsiTheme="minorHAnsi" w:cstheme="minorHAnsi"/>
                <w:sz w:val="22"/>
                <w:szCs w:val="22"/>
              </w:rPr>
              <w:t>wprowadza zmiany w ustawie o podatku akcyzowym (Dz.U. poz. 846).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7BC8">
              <w:rPr>
                <w:rFonts w:asciiTheme="minorHAnsi" w:hAnsiTheme="minorHAnsi" w:cstheme="minorHAnsi"/>
                <w:sz w:val="22"/>
                <w:szCs w:val="22"/>
              </w:rPr>
              <w:t>W konsekwencji ponownie aktualizacji wymaga wskazany w załączonych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7BC8">
              <w:rPr>
                <w:rFonts w:asciiTheme="minorHAnsi" w:hAnsiTheme="minorHAnsi" w:cstheme="minorHAnsi"/>
                <w:sz w:val="22"/>
                <w:szCs w:val="22"/>
              </w:rPr>
              <w:t>dokumentach publikator ustawy o podatku akcyzowym (art. 7 projektu, str. 94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7BC8">
              <w:rPr>
                <w:rFonts w:asciiTheme="minorHAnsi" w:hAnsiTheme="minorHAnsi" w:cstheme="minorHAnsi"/>
                <w:sz w:val="22"/>
                <w:szCs w:val="22"/>
              </w:rPr>
              <w:t>uzasadnienia projektu oraz str. 17 OSR).</w:t>
            </w:r>
          </w:p>
        </w:tc>
        <w:tc>
          <w:tcPr>
            <w:tcW w:w="4111" w:type="dxa"/>
            <w:shd w:val="clear" w:color="auto" w:fill="auto"/>
          </w:tcPr>
          <w:p w14:paraId="00A12831" w14:textId="1D4967FF" w:rsidR="003C046D" w:rsidRPr="007167B1" w:rsidRDefault="003C046D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</w:t>
            </w:r>
            <w:r w:rsidR="006C2226">
              <w:rPr>
                <w:rFonts w:ascii="Calibri" w:hAnsi="Calibri" w:cs="Calibri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sz w:val="22"/>
                <w:szCs w:val="22"/>
              </w:rPr>
              <w:t>zasadnienia i OSR we wskazanym zakresie.</w:t>
            </w:r>
          </w:p>
        </w:tc>
        <w:tc>
          <w:tcPr>
            <w:tcW w:w="1076" w:type="dxa"/>
          </w:tcPr>
          <w:p w14:paraId="418F8A36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756BAC80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2913D660" w14:textId="10276BE5" w:rsidR="003C046D" w:rsidRPr="007740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913F16B" w14:textId="7FD8984C" w:rsidR="003C046D" w:rsidRPr="0077406D" w:rsidRDefault="003C046D" w:rsidP="003C046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D21A031" w14:textId="6A75755D" w:rsidR="003C046D" w:rsidRPr="0077406D" w:rsidRDefault="00AD6351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D6351">
              <w:rPr>
                <w:rFonts w:asciiTheme="minorHAnsi" w:hAnsiTheme="minorHAnsi" w:cstheme="minorHAnsi"/>
                <w:sz w:val="22"/>
                <w:szCs w:val="22"/>
              </w:rPr>
              <w:t>rt. 72 ust. 1 pkt 10</w:t>
            </w:r>
          </w:p>
        </w:tc>
        <w:tc>
          <w:tcPr>
            <w:tcW w:w="6521" w:type="dxa"/>
            <w:shd w:val="clear" w:color="auto" w:fill="auto"/>
          </w:tcPr>
          <w:p w14:paraId="5E0B3743" w14:textId="1D9CF18F" w:rsidR="003C046D" w:rsidRPr="007167B1" w:rsidRDefault="003C046D" w:rsidP="003C04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>onsekwencją projektowanej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>w art. 72 ust. 1 pkt 10 zmiany będzie konieczność uzupełnienia podrodzaju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 xml:space="preserve">samochodów ciężarowych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>o podrodzaj „skrzynia” oraz „pick-up” w analogicznym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>przepisie zawartym w § 16 ust. 1 pkt 4 lit. c) rozporządzenia Ministra Infrastruktury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 xml:space="preserve">z dnia 8 listopada 2024 r. w sprawie rejestracji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>i oznaczania pojazdów, wymagań dla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>tablic rejestracyjnych oraz wzorów innych dokumentów związanych z rejestracją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 xml:space="preserve">pojazdów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74029">
              <w:rPr>
                <w:rFonts w:asciiTheme="minorHAnsi" w:hAnsiTheme="minorHAnsi" w:cstheme="minorHAnsi"/>
                <w:sz w:val="22"/>
                <w:szCs w:val="22"/>
              </w:rPr>
              <w:t>(Dz.U. z 2024 r. poz. 1709).</w:t>
            </w:r>
          </w:p>
        </w:tc>
        <w:tc>
          <w:tcPr>
            <w:tcW w:w="4111" w:type="dxa"/>
            <w:shd w:val="clear" w:color="auto" w:fill="auto"/>
          </w:tcPr>
          <w:p w14:paraId="6F53FFC5" w14:textId="23B9B562" w:rsidR="003C046D" w:rsidRPr="007167B1" w:rsidRDefault="00AD6351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uwzględnienia przez projektodawcę.</w:t>
            </w:r>
          </w:p>
        </w:tc>
        <w:tc>
          <w:tcPr>
            <w:tcW w:w="1076" w:type="dxa"/>
          </w:tcPr>
          <w:p w14:paraId="04882121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4866EF0D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01E87BE1" w14:textId="1412854E" w:rsidR="003C04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10</w:t>
            </w:r>
          </w:p>
        </w:tc>
        <w:tc>
          <w:tcPr>
            <w:tcW w:w="1559" w:type="dxa"/>
            <w:shd w:val="clear" w:color="auto" w:fill="auto"/>
          </w:tcPr>
          <w:p w14:paraId="37BC7FFD" w14:textId="77777777" w:rsidR="00A466DC" w:rsidRPr="00A466DC" w:rsidRDefault="00A466DC" w:rsidP="00A466D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</w:p>
          <w:p w14:paraId="4EE51B1D" w14:textId="5586DDE8" w:rsidR="003C046D" w:rsidRPr="0077406D" w:rsidRDefault="00A466DC" w:rsidP="00A466D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464E001A" w14:textId="2E5528DD" w:rsidR="003C046D" w:rsidRDefault="00A466DC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sz w:val="22"/>
                <w:szCs w:val="22"/>
              </w:rPr>
              <w:t>art. 68zx</w:t>
            </w:r>
          </w:p>
        </w:tc>
        <w:tc>
          <w:tcPr>
            <w:tcW w:w="6521" w:type="dxa"/>
            <w:shd w:val="clear" w:color="auto" w:fill="auto"/>
          </w:tcPr>
          <w:p w14:paraId="4A31144F" w14:textId="68510308" w:rsidR="00A466DC" w:rsidRPr="00A466DC" w:rsidRDefault="00A466DC" w:rsidP="00A466D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sz w:val="22"/>
                <w:szCs w:val="22"/>
              </w:rPr>
              <w:t xml:space="preserve">W związku z brakiem w projekcie ustawy definicji legalnej pojęcia „pojazd” zasadne jest jednoznaczne określenie zakresu znaczeniowego tego pojęcia. Szef Krajowej Administracji Skarbowej, zobowiązany </w:t>
            </w:r>
            <w:r w:rsidR="00EC5B1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466DC">
              <w:rPr>
                <w:rFonts w:asciiTheme="minorHAnsi" w:hAnsiTheme="minorHAnsi" w:cstheme="minorHAnsi"/>
                <w:sz w:val="22"/>
                <w:szCs w:val="22"/>
              </w:rPr>
              <w:t xml:space="preserve">na podstawie art. 68zx ust. 1 i 2 do sporządzania i przekazywania Dyrektorowi Transportowego Dozoru Technicznego informacji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466DC">
              <w:rPr>
                <w:rFonts w:asciiTheme="minorHAnsi" w:hAnsiTheme="minorHAnsi" w:cstheme="minorHAnsi"/>
                <w:sz w:val="22"/>
                <w:szCs w:val="22"/>
              </w:rPr>
              <w:t>o importerach wprowadzających pojazdy do obrotu, powinien mieć możliwość precyzyjnego ustalenia, jakie kategorie pojazdów należy uwzględniać w przekazywanych danych.</w:t>
            </w:r>
          </w:p>
          <w:p w14:paraId="57E4F596" w14:textId="77777777" w:rsidR="00A466DC" w:rsidRPr="00A466DC" w:rsidRDefault="00A466DC" w:rsidP="00A466D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66CAC0" w14:textId="05AE61FF" w:rsidR="003C046D" w:rsidRPr="007167B1" w:rsidRDefault="00A466DC" w:rsidP="00A466D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sz w:val="22"/>
                <w:szCs w:val="22"/>
              </w:rPr>
              <w:t>Brak jednoznacznego określenia zakresu przedmiotowego tego obowiązku może prowadzić do rozbieżności interpretacyjnych oraz trudności w prawidłowej realizacji obowiązku informacyjnego przez Szefa Krajowej Administracji Skarbowej. W związku z powyższym proponuje się uzupełnienie projektu ustawy o definicję pojęcia „pojazd” albo zamieszczenie w art. 68zx odpowiedniego odesłania do przepisu zawierającego definicję tego pojęcia.</w:t>
            </w:r>
          </w:p>
        </w:tc>
        <w:tc>
          <w:tcPr>
            <w:tcW w:w="4111" w:type="dxa"/>
            <w:shd w:val="clear" w:color="auto" w:fill="auto"/>
          </w:tcPr>
          <w:p w14:paraId="377CF168" w14:textId="37CE2EC1" w:rsidR="003C046D" w:rsidRDefault="00A466DC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projektu ustawy we wskazanym zakresie. </w:t>
            </w:r>
          </w:p>
        </w:tc>
        <w:tc>
          <w:tcPr>
            <w:tcW w:w="1076" w:type="dxa"/>
          </w:tcPr>
          <w:p w14:paraId="4F45EB76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046D" w:rsidRPr="004B4123" w14:paraId="20F7BF21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1F623CB8" w14:textId="3BF6BB6A" w:rsidR="003C046D" w:rsidRDefault="00691D83" w:rsidP="003C046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14:paraId="2DC26F54" w14:textId="77777777" w:rsidR="00A466DC" w:rsidRPr="00A466DC" w:rsidRDefault="00A466DC" w:rsidP="00A466D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</w:p>
          <w:p w14:paraId="16C02D72" w14:textId="1735A96F" w:rsidR="003C046D" w:rsidRPr="0077406D" w:rsidRDefault="00A466DC" w:rsidP="00A466D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b/>
                <w:sz w:val="22"/>
                <w:szCs w:val="22"/>
              </w:rPr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659C36A5" w14:textId="41E11587" w:rsidR="003C046D" w:rsidRDefault="00A466DC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Uzasadnienie</w:t>
            </w:r>
          </w:p>
        </w:tc>
        <w:tc>
          <w:tcPr>
            <w:tcW w:w="6521" w:type="dxa"/>
            <w:shd w:val="clear" w:color="auto" w:fill="auto"/>
          </w:tcPr>
          <w:p w14:paraId="7BC57F79" w14:textId="6547FBF9" w:rsidR="00603B6D" w:rsidRDefault="00A466DC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66DC">
              <w:rPr>
                <w:rFonts w:asciiTheme="minorHAnsi" w:hAnsiTheme="minorHAnsi" w:cstheme="minorHAnsi"/>
                <w:sz w:val="22"/>
                <w:szCs w:val="22"/>
              </w:rPr>
              <w:t>Zawarte na stronach 68–69 uzasadnienia sformułowani</w:t>
            </w:r>
            <w:r w:rsidR="00603B6D">
              <w:rPr>
                <w:rFonts w:asciiTheme="minorHAnsi" w:hAnsiTheme="minorHAnsi" w:cstheme="minorHAnsi"/>
                <w:sz w:val="22"/>
                <w:szCs w:val="22"/>
              </w:rPr>
              <w:t xml:space="preserve">a wymagają korekty: </w:t>
            </w:r>
          </w:p>
          <w:p w14:paraId="53673A73" w14:textId="159A6404" w:rsid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2E6245" w14:textId="5F26E54E" w:rsid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03B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„Istotna jest również wymiana informacji pomiędzy Krajową Administracją Skarbową (KAS), która jest odpowiedzialna za dopuszczenie produktów na polski rynek  w związku z rozdziałem VII rozporządzenia 2019/1020 - powiadomienie TDT przez organy celne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603B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  zawieszeniu dopuszczenia do obrotu pojazdu, przedmiotu wyposażenia lub części zgodnie z art. 26 ust. 2 rozporządzenia 2019/1020”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  <w:p w14:paraId="28E5EA73" w14:textId="77777777" w:rsidR="00603B6D" w:rsidRP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00FD7B" w14:textId="76463FF8" w:rsidR="00603B6D" w:rsidRP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 xml:space="preserve">Reakcje organu nadzoru rynku po powiadomieniu powinny przewidywać 3 ścieżki: </w:t>
            </w:r>
          </w:p>
          <w:p w14:paraId="71095DBA" w14:textId="77777777" w:rsidR="00603B6D" w:rsidRP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 xml:space="preserve">1. zatwierdzenie dopuszczenia do obrotu; </w:t>
            </w:r>
          </w:p>
          <w:p w14:paraId="0F5DA721" w14:textId="77777777" w:rsidR="00603B6D" w:rsidRP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>2. wystąpienie z wnioskiem o utrzymanie zawieszenia, aby umożliwić podjęcie stosownych działań (tu, odwołując się do art. 27 rozporządzenia (UE) 1020/2019 wskazane byłoby użycie terminologii „</w:t>
            </w:r>
            <w:r w:rsidRPr="00603B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wniosek o utrzymanie zawieszenia”</w:t>
            </w: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EFB97C9" w14:textId="1F763F04" w:rsidR="00603B6D" w:rsidRP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 xml:space="preserve">3. wymaganie od organów celnych, aby nie dopuszczały produktu do obrotu, ponieważ stwarza on poważne zagrożenie lub jest niezgodny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 xml:space="preserve">z przepisami. Trzecia ścieżka, przewidziana w art. 28 rozporządzenia </w:t>
            </w:r>
            <w:r w:rsidRPr="00603B6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(UE) 1020/2019, to </w:t>
            </w:r>
            <w:r w:rsidRPr="00603B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„odmowa dopuszczenia do obrotu</w:t>
            </w: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603B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 xml:space="preserve">a nie kolejne </w:t>
            </w:r>
            <w:r w:rsidRPr="00603B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„zawieszenie"</w:t>
            </w: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3BC6D3B" w14:textId="62B84CCD" w:rsidR="00603B6D" w:rsidRPr="007167B1" w:rsidRDefault="002E52A7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4F3239D3" w14:textId="62AC55A2" w:rsidR="003C046D" w:rsidRDefault="00603B6D" w:rsidP="00A466D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603B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„wniosek do KAS o zawieszenie dopuszczenia przy braku możliwych działań naprawczych – w tym przypadku TDT wprowadza informację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603B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 systemu”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  <w:p w14:paraId="0205DB1A" w14:textId="77777777" w:rsid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E935AD" w14:textId="3745A0EF" w:rsidR="00603B6D" w:rsidRPr="00603B6D" w:rsidRDefault="00603B6D" w:rsidP="00603B6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 xml:space="preserve">Brzmienie tego zapisu sugeruje, że tylko w przypadku odmowy dopuszczenia do obrotu organ nadzoru rynku wprowadza informację do ICSMS, co jest mylące. ICSMS jest wykorzystywany w całym obiegu informacji pomiędzy organem celnym a organem nadzoru rynku, nie tylko, gdy wystąpią przesłanki z rozporządzenia (UE) 1020/2019. Z tego względu zwracamy się z prośbą o przeredagowanie zapisu tak, aby nie było wątpliwości, że komunikacja pomiędzy organem nadzoru rynku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03B6D">
              <w:rPr>
                <w:rFonts w:asciiTheme="minorHAnsi" w:hAnsiTheme="minorHAnsi" w:cstheme="minorHAnsi"/>
                <w:sz w:val="22"/>
                <w:szCs w:val="22"/>
              </w:rPr>
              <w:t>a organem celnym prowadzona jest w ICSMS i że w przypadku odnowy fakt ten jest odnotowywany w tym systemie.</w:t>
            </w:r>
          </w:p>
        </w:tc>
        <w:tc>
          <w:tcPr>
            <w:tcW w:w="4111" w:type="dxa"/>
            <w:shd w:val="clear" w:color="auto" w:fill="auto"/>
          </w:tcPr>
          <w:p w14:paraId="71BD109A" w14:textId="54403075" w:rsidR="003C046D" w:rsidRDefault="00ED2A6C" w:rsidP="003C046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Korekta uzasadnienia we wskazanym zakresie. </w:t>
            </w:r>
          </w:p>
        </w:tc>
        <w:tc>
          <w:tcPr>
            <w:tcW w:w="1076" w:type="dxa"/>
          </w:tcPr>
          <w:p w14:paraId="7D32CD37" w14:textId="77777777" w:rsidR="003C046D" w:rsidRPr="0077406D" w:rsidRDefault="003C046D" w:rsidP="003C046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99821" w14:textId="77777777" w:rsidR="000C1CE1" w:rsidRDefault="000C1CE1" w:rsidP="00177C39">
      <w:r>
        <w:separator/>
      </w:r>
    </w:p>
  </w:endnote>
  <w:endnote w:type="continuationSeparator" w:id="0">
    <w:p w14:paraId="6A3D75A6" w14:textId="77777777" w:rsidR="000C1CE1" w:rsidRDefault="000C1CE1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0E64" w14:textId="77777777" w:rsidR="000C1CE1" w:rsidRDefault="000C1CE1" w:rsidP="00177C39">
      <w:r>
        <w:separator/>
      </w:r>
    </w:p>
  </w:footnote>
  <w:footnote w:type="continuationSeparator" w:id="0">
    <w:p w14:paraId="26592499" w14:textId="77777777" w:rsidR="000C1CE1" w:rsidRDefault="000C1CE1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C1CE1"/>
    <w:rsid w:val="000D3D53"/>
    <w:rsid w:val="000E6ACE"/>
    <w:rsid w:val="0011061D"/>
    <w:rsid w:val="00134EDA"/>
    <w:rsid w:val="00140BE8"/>
    <w:rsid w:val="00144CC8"/>
    <w:rsid w:val="00151F59"/>
    <w:rsid w:val="001538D1"/>
    <w:rsid w:val="00156004"/>
    <w:rsid w:val="00160299"/>
    <w:rsid w:val="00177C39"/>
    <w:rsid w:val="001916D6"/>
    <w:rsid w:val="00192F18"/>
    <w:rsid w:val="00195092"/>
    <w:rsid w:val="0019648E"/>
    <w:rsid w:val="001A7BC8"/>
    <w:rsid w:val="001E0AA1"/>
    <w:rsid w:val="001E6CC9"/>
    <w:rsid w:val="002116EE"/>
    <w:rsid w:val="00235B1B"/>
    <w:rsid w:val="00247D6B"/>
    <w:rsid w:val="002715B2"/>
    <w:rsid w:val="00281725"/>
    <w:rsid w:val="00281D0C"/>
    <w:rsid w:val="002D3345"/>
    <w:rsid w:val="002E52A7"/>
    <w:rsid w:val="0030053F"/>
    <w:rsid w:val="003124D1"/>
    <w:rsid w:val="0033458B"/>
    <w:rsid w:val="00342EAE"/>
    <w:rsid w:val="00375A04"/>
    <w:rsid w:val="00382D36"/>
    <w:rsid w:val="003B4105"/>
    <w:rsid w:val="003C046D"/>
    <w:rsid w:val="004119F9"/>
    <w:rsid w:val="004512BE"/>
    <w:rsid w:val="004966A8"/>
    <w:rsid w:val="004B4123"/>
    <w:rsid w:val="004D086F"/>
    <w:rsid w:val="004E3B77"/>
    <w:rsid w:val="005741DF"/>
    <w:rsid w:val="005811BB"/>
    <w:rsid w:val="0059209A"/>
    <w:rsid w:val="005975C6"/>
    <w:rsid w:val="005A48F7"/>
    <w:rsid w:val="005C20B1"/>
    <w:rsid w:val="005C520F"/>
    <w:rsid w:val="005E3BB5"/>
    <w:rsid w:val="005F6527"/>
    <w:rsid w:val="00603B6D"/>
    <w:rsid w:val="00611219"/>
    <w:rsid w:val="00632DD8"/>
    <w:rsid w:val="006656EA"/>
    <w:rsid w:val="006705EC"/>
    <w:rsid w:val="00691D83"/>
    <w:rsid w:val="006C2226"/>
    <w:rsid w:val="006C6369"/>
    <w:rsid w:val="006E013E"/>
    <w:rsid w:val="006E16E9"/>
    <w:rsid w:val="00714AC7"/>
    <w:rsid w:val="007167B1"/>
    <w:rsid w:val="007231AA"/>
    <w:rsid w:val="00756F02"/>
    <w:rsid w:val="0077406D"/>
    <w:rsid w:val="00790B3B"/>
    <w:rsid w:val="0079500D"/>
    <w:rsid w:val="007965BB"/>
    <w:rsid w:val="007B2E69"/>
    <w:rsid w:val="007B3476"/>
    <w:rsid w:val="007D55F3"/>
    <w:rsid w:val="00807385"/>
    <w:rsid w:val="00825A2F"/>
    <w:rsid w:val="00846E5F"/>
    <w:rsid w:val="0088500F"/>
    <w:rsid w:val="00906D07"/>
    <w:rsid w:val="009357E2"/>
    <w:rsid w:val="00942EAC"/>
    <w:rsid w:val="00944932"/>
    <w:rsid w:val="009520C3"/>
    <w:rsid w:val="009664EC"/>
    <w:rsid w:val="0098558F"/>
    <w:rsid w:val="00985691"/>
    <w:rsid w:val="009C22E4"/>
    <w:rsid w:val="009E5FDB"/>
    <w:rsid w:val="009E6B40"/>
    <w:rsid w:val="009F6037"/>
    <w:rsid w:val="00A06425"/>
    <w:rsid w:val="00A31A0A"/>
    <w:rsid w:val="00A43245"/>
    <w:rsid w:val="00A466DC"/>
    <w:rsid w:val="00A63767"/>
    <w:rsid w:val="00A75845"/>
    <w:rsid w:val="00AB2345"/>
    <w:rsid w:val="00AC7796"/>
    <w:rsid w:val="00AD6351"/>
    <w:rsid w:val="00AF549A"/>
    <w:rsid w:val="00B01BA8"/>
    <w:rsid w:val="00B324BD"/>
    <w:rsid w:val="00B51FCD"/>
    <w:rsid w:val="00B74029"/>
    <w:rsid w:val="00B77C77"/>
    <w:rsid w:val="00B871B6"/>
    <w:rsid w:val="00BB2500"/>
    <w:rsid w:val="00BB7C0A"/>
    <w:rsid w:val="00BE16FA"/>
    <w:rsid w:val="00C64B1B"/>
    <w:rsid w:val="00CD5EB0"/>
    <w:rsid w:val="00CE2EA1"/>
    <w:rsid w:val="00CF6FB3"/>
    <w:rsid w:val="00D210A4"/>
    <w:rsid w:val="00D26D79"/>
    <w:rsid w:val="00D63B08"/>
    <w:rsid w:val="00D940EC"/>
    <w:rsid w:val="00D9664F"/>
    <w:rsid w:val="00DB1F32"/>
    <w:rsid w:val="00DE4F45"/>
    <w:rsid w:val="00DF4CB3"/>
    <w:rsid w:val="00E03A30"/>
    <w:rsid w:val="00E14C33"/>
    <w:rsid w:val="00E16781"/>
    <w:rsid w:val="00E340EE"/>
    <w:rsid w:val="00EC201B"/>
    <w:rsid w:val="00EC5B11"/>
    <w:rsid w:val="00ED2A6C"/>
    <w:rsid w:val="00F41958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603B6D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3B6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1418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2026-07-15T11:19:00Z</dcterms:created>
  <dcterms:modified xsi:type="dcterms:W3CDTF">2026-07-15T11:19:00Z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